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0C0E643" w:rsidP="01892866" w:rsidRDefault="50C0E643" w14:paraId="6E796E88" w14:textId="02AED7CF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da un gran paso en el uso de la IA generativa y el metaverso para las industrias con 4 nuevos demos</w:t>
      </w:r>
    </w:p>
    <w:p w:rsidR="50C0E643" w:rsidP="01892866" w:rsidRDefault="50C0E643" w14:paraId="5771B841" w14:textId="3B991BBA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Ciudad de México, 25 de marzo de 2024.-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compañía global de tecnologías de la información (TI) líder en desarrollo de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software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y consultoría,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presentó cuatro nuevos demos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de uso profesional que enfatizan los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beneficios de la adopción de la inteligencia artificial generativa (Gen AI)</w:t>
      </w:r>
      <w:r w:rsidRPr="01892866" w:rsidR="01892866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, así como del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metaverso industrial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para distintos sectores. Esto, en el marco de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NVIDIA GTC 2024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(18 al 21 de marzo, Centro de Convenciones de San José, California), la conferencia número uno sobre avances en IA que reúne a desarrolladores, investigadores, creadores, responsables de TI, líderes empresariales y estudiantes para aprender a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dar forma a nuestro mundo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con el poder de la IA, la computación acelerada, la ciencia de datos y mucho más.</w:t>
      </w:r>
    </w:p>
    <w:p w:rsidR="337454F2" w:rsidP="01892866" w:rsidRDefault="337454F2" w14:paraId="7C0A7592" w14:textId="0DD96D2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Las cuatro demostraciones 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(</w:t>
      </w:r>
      <w:hyperlink r:id="Rc2cb8c04f8f64765"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WarehouseSim</w:t>
        </w:r>
      </w:hyperlink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, </w:t>
      </w:r>
      <w:hyperlink r:id="R04453dfb46d8487b"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Simulation</w:t>
        </w:r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 </w:t>
        </w:r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First</w:t>
        </w:r>
      </w:hyperlink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, </w:t>
      </w:r>
      <w:hyperlink r:id="Rf7dda4da025b42fd"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 xml:space="preserve">Industrial </w:t>
        </w:r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Copilot</w:t>
        </w:r>
      </w:hyperlink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y </w:t>
      </w:r>
      <w:hyperlink r:id="R6d8138d7f64447f0"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Gen</w:t>
        </w:r>
      </w:hyperlink>
      <w:r w:rsidRPr="01892866" w:rsidR="01892866">
        <w:rPr>
          <w:rFonts w:ascii="Arial Nova" w:hAnsi="Arial Nova" w:eastAsia="Arial Nova" w:cs="Arial Nova"/>
          <w:sz w:val="20"/>
          <w:szCs w:val="20"/>
        </w:rPr>
        <w:t>)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fu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ron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desarrolla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das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para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exponer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enfoques probados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con el fin 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que las empresas adopten tecnologías como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la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Gen AI, gemelos digitales, robótica y simulaciones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.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P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ara ello, la firma de origen ucraniano empleó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tecnologías de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NVIDIA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(líder global en el diseño y fabricación de procesadores gráficos, chipsets y software multimedia relacionado), que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en 2023 reconoció a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como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Partner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del Año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gracias a sus aportes en distintas áreas 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especialización,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destacando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soluciones de realidad virtual y aumentada, así como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inteligencia artificial.</w:t>
      </w:r>
    </w:p>
    <w:p w:rsidR="7D371E9A" w:rsidP="01892866" w:rsidRDefault="7D371E9A" w14:paraId="41414B29" w14:textId="7A6E116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De acuerdo con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Taras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Bachynskyi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, vicepresidente de Tecnología en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 estos cuatro demos "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son lo último en la aplicación de gemelos digitales y Gen AI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para resolver desafíos comerciales de la vida real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que van desde maximizar la eficiencia y acelerar el tiempo de comercialización en el sector industrial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en general,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hasta impulsar experiencias ricas para los clientes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. </w:t>
      </w:r>
      <w:bookmarkStart w:name="_Int_bijFshui" w:id="1684363771"/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Al utilizar </w:t>
      </w:r>
      <w:r w:rsidRPr="01892866" w:rsidR="01892866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>lenguaje natural y realidad extendida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para interactuar con el metaverso industrial o con asistentes digitales, en nuestras demostraciones dentro del GTC los asistentes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probaron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de primera mano algunos cambios innovadores que pronto se convertirán en realidad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".</w:t>
      </w:r>
      <w:bookmarkEnd w:id="1684363771"/>
    </w:p>
    <w:p w:rsidR="051F2026" w:rsidP="01892866" w:rsidRDefault="051F2026" w14:paraId="7A142F9A" w14:textId="67D1C1C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Al mismo tiempo, otro objetivo de </w:t>
      </w:r>
      <w:hyperlink r:id="Ra2c75f812c5e425a">
        <w:r w:rsidRPr="01892866" w:rsidR="01892866">
          <w:rPr>
            <w:rStyle w:val="Hyperlink"/>
            <w:rFonts w:ascii="Arial Nova" w:hAnsi="Arial Nova" w:eastAsia="Arial Nova" w:cs="Arial Nova"/>
            <w:sz w:val="20"/>
            <w:szCs w:val="20"/>
          </w:rPr>
          <w:t>SoftServe</w:t>
        </w:r>
      </w:hyperlink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fue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demostrar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in situ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las capacidades de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soluciones de su socio tecnológico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como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NVIDIA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Omniverse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™, NVIDIA Isaac Sim™, NVIDIA AI Enterprise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™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(que incluye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NeMo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Riva)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NVIDIA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Triton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Inference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Server™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entre otras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aplicaciones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avanzadas 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la empresa estadounidense fundada en 1993, "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de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una manera muy intuitiva y atractiva que impulse una adopción más rápida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”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 explicó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.</w:t>
      </w:r>
    </w:p>
    <w:p w:rsidR="63E5E23D" w:rsidP="01892866" w:rsidRDefault="63E5E23D" w14:paraId="0905ACF6" w14:textId="09EC0D9A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Estos son los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detalles de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cada uno de los cuatro demos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expuest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os por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dentro del stand 426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la conferencia NVIDIA GTC 2024: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7F47F431" w:rsidP="01892866" w:rsidRDefault="7F47F431" w14:paraId="7A3FA794" w14:textId="10F60837">
      <w:pPr>
        <w:pStyle w:val="Normal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WarehouseSim</w:t>
      </w:r>
    </w:p>
    <w:p w:rsidR="7F47F431" w:rsidP="01892866" w:rsidRDefault="7F47F431" w14:paraId="481E3A22" w14:textId="54EBAD59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Se trata de un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gemelo digital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que permite a los usuarios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construir, operar y rediseñar un almacén en un entorno virtual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antes de la implementación real. Con simulaciones de metaverso industrial, permite a las partes interesadas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responsab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operativos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probar y examinar cambios que pueden afectar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su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 operaciones o generar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les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costos inesperados. </w:t>
      </w:r>
    </w:p>
    <w:p w:rsidR="7F47F431" w:rsidP="01892866" w:rsidRDefault="7F47F431" w14:paraId="530D8691" w14:textId="418A7AA2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En esta demostración, los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asistentes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pudieron colocar elementos específicos como bastidores, muelles, transportadores, montacargas y robots móviles autónomos (AMR) dentro de un entorno virtual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para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evaluar el rendimiento o identificar posibles cuellos de botella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.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Cabe destacar que 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as mismas tecnologías y enfoque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se pueden aplicar en otros ámbitos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 como la planificación de fábricas y la producción en los sectores manufacturero y automotriz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 por ejemplo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.  </w:t>
      </w:r>
    </w:p>
    <w:p w:rsidR="3D77A4A0" w:rsidP="01892866" w:rsidRDefault="3D77A4A0" w14:paraId="57DC557D" w14:textId="14987174">
      <w:pPr>
        <w:pStyle w:val="Normal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Simulation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First</w:t>
      </w:r>
    </w:p>
    <w:p w:rsidR="3D77A4A0" w:rsidP="01892866" w:rsidRDefault="3D77A4A0" w14:paraId="10F40DBA" w14:textId="2BA993E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Este demo presenta un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entorno de granja vertical, físicamente preciso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en el que los usuarios pueden colaborar con robots mediante simulaciones. Parte de un método que reduce drásticamente los costos y las iteraciones físicas de soluciones en robótica y automatización avanzada; lo que permite realizar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pruebas más seguras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tener una implantación rápida, depuración avanzada, más optimización y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una mayor eficiencia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. </w:t>
      </w:r>
    </w:p>
    <w:p w:rsidR="3D77A4A0" w:rsidP="01892866" w:rsidRDefault="3D77A4A0" w14:paraId="3B1C6AAC" w14:textId="706E8CA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 Nova" w:hAnsi="Arial Nova" w:eastAsia="Arial Nova" w:cs="Arial Nova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Su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operación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fotorrealista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muestra entornos escalables y retratados con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precisión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mediante robots en simulaciones de alta fidelidad.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Algo que llamó la atención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de los profesionales respecto 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este lanzamiento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fue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su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transformación del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desarrollo robótico personalizado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y la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capacitación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digital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diversos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sectores.  </w:t>
      </w:r>
    </w:p>
    <w:p w:rsidR="6A521BF1" w:rsidP="01892866" w:rsidRDefault="6A521BF1" w14:paraId="013A3900" w14:textId="7F9E8D71">
      <w:pPr>
        <w:pStyle w:val="Normal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Industrial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Copilot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 </w:t>
      </w:r>
    </w:p>
    <w:p w:rsidR="6538A3A2" w:rsidP="01892866" w:rsidRDefault="6538A3A2" w14:paraId="62844D43" w14:textId="14EACF9D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Una solución que aprovecha el conocimiento del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modelo de lenguaje grande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(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LLM,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large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language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model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) de los procesos y equipos de fabricación, para brindar a los trabajadores apoyo, asesoramiento y orientación en las operaciones. Al utilizar IA generativa, los usuarios reciben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instrucciones detalladas e información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producida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automáticamente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lo que permite una navegación rápida a través de manuales, procedimientos y registros de equipos. </w:t>
      </w:r>
    </w:p>
    <w:p w:rsidR="5E0A290B" w:rsidP="01892866" w:rsidRDefault="5E0A290B" w14:paraId="0FC91DC4" w14:textId="49C443EA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>Tal demo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representa una ruta más progresiva para los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procesos y estrategias de mantenimiento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en las empresas, con el fin de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identificar los orígenes de los problemas y mejorar la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eficiencia general de los equipos (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OEE,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ov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erall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equipment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effectiveness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).</w:t>
      </w:r>
    </w:p>
    <w:p w:rsidR="12FA575C" w:rsidP="01892866" w:rsidRDefault="12FA575C" w14:paraId="557EC7AB" w14:textId="1313E393">
      <w:pPr>
        <w:pStyle w:val="Normal"/>
        <w:jc w:val="both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Gen</w:t>
      </w:r>
    </w:p>
    <w:p w:rsidR="3C944073" w:rsidP="01892866" w:rsidRDefault="3C944073" w14:paraId="1748E17E" w14:textId="6017215F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Es un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asistente virtual para consumidores finales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y al mismo tiempo un conserje digital, que crea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experiencias inmersivas y personalizadas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para la atención al cliente, incorporación y educación sobre una organización. Representa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la evolución de los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chatbots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pues ofrece una experiencia de atención al usuario más atractiva y superior al aprovechar los LLM y los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mecanismos de gestión del diálogo más avanzados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mejorando el flujo de la conversación. Como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conserje digital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, puede ayudar de diversas formas a los clientes de las empresas en línea o en lugares físicos, ampliando el alcance del servicio prestado en general.</w:t>
      </w:r>
    </w:p>
    <w:p w:rsidR="05E2698E" w:rsidP="01892866" w:rsidRDefault="05E2698E" w14:paraId="66E1091E" w14:textId="33A0A7F2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Trayendo al presente el futuro tecnológico de las industrias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4E107861" w:rsidP="01892866" w:rsidRDefault="4E107861" w14:paraId="535E1B61" w14:textId="2436F4FF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En un contexto donde </w:t>
      </w:r>
      <w:bookmarkStart w:name="_Int_gi6jh4a6" w:id="572738503"/>
      <w:r w:rsidRPr="01892866" w:rsidR="01892866">
        <w:rPr>
          <w:rFonts w:ascii="Arial Nova" w:hAnsi="Arial Nova" w:eastAsia="Arial Nova" w:cs="Arial Nova"/>
          <w:sz w:val="20"/>
          <w:szCs w:val="20"/>
        </w:rPr>
        <w:t>el</w:t>
      </w:r>
      <w:bookmarkEnd w:id="572738503"/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hyperlink w:anchor=":~:text=The%20global%20industrial%20metaverse%20market,33.90%25%20from%202024%20to%202033." r:id="R17429bdaedf14ae4">
        <w:r w:rsidRPr="01892866" w:rsidR="0189286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mercado mundial de metaverso industrial</w:t>
        </w:r>
      </w:hyperlink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se valoró en 18,370 millones de dólares (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mdd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) el año pasado, esperando que alcance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aproximadamente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339,060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mdd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en 2033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con una tasa de crecimiento anual compuesto (CAGR, por sus siglas en inglés) del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33.9% entre 2024 y 2033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;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la presencia 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en el corazón de Silicon Valley durante la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esperada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reunión donde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convergen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tecnología y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el gremio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tech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para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da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r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forma al futuro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se complementó con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cinco sesiones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técnicas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para profundizar en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aspectos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de est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cuatro demo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s.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</w:p>
    <w:p w:rsidR="349B2FF0" w:rsidP="01892866" w:rsidRDefault="349B2FF0" w14:paraId="42988787" w14:textId="734E6D29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>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n voz de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líderes de opinión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de la compañía que recientemente cumplió 30 años de impactar positivamente al planeta, las comunidades y las industria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,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los temas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expuestos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entre formato presencial y en línea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fueron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: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"c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apacitación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con datos sintéticos y producción en el borde: inteligencia visual a escala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", "i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ntroducción a la IA generativa y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penUSD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para aplicaciones industriales del metaverso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", "s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imulación de sistemas robóticos avanzados de exploración lunar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", "a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celeración de simulaciones de reactores químicos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m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ultiescala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utilizando el módulo NVIDIA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", y "c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ómo hacer que los modelos de lenguaje grandes y la generación de recuperación aumentada (RAG) funcionen con facilidad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".</w:t>
      </w:r>
    </w:p>
    <w:p w:rsidR="50C37590" w:rsidP="01892866" w:rsidRDefault="50C37590" w14:paraId="75809FBC" w14:textId="336F0B79">
      <w:pPr>
        <w:pStyle w:val="Normal"/>
        <w:jc w:val="both"/>
        <w:rPr>
          <w:rFonts w:ascii="Arial Nova" w:hAnsi="Arial Nova" w:eastAsia="Arial Nova" w:cs="Arial Nova"/>
          <w:sz w:val="18"/>
          <w:szCs w:val="18"/>
        </w:rPr>
      </w:pPr>
      <w:r w:rsidRPr="01892866" w:rsidR="01892866">
        <w:rPr>
          <w:rFonts w:ascii="Arial Nova" w:hAnsi="Arial Nova" w:eastAsia="Arial Nova" w:cs="Arial Nova"/>
          <w:sz w:val="20"/>
          <w:szCs w:val="20"/>
        </w:rPr>
        <w:t>"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Nuestro objetivo es </w:t>
      </w:r>
      <w:r w:rsidRPr="01892866" w:rsidR="01892866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>llevar la ingeniería digital y el metaverso industrial a un nuevo nivel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al permitir que múltiples diseñadores, ingenieros e incluso diferentes empresas colaboren en un mundo virtual. Imagin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ando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un mercado donde varios proveedores puedan ofrecer gemelos digitales de sus equipos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,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para abordar desafíos de automatización reales mediante simulaciones antes de enviar el activo real. O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hacer realidad el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diseño colaborativo de productos en el metaverso, donde cada cambio en el diseño del cuerpo y las partes eléctricas o mecánicas del producto se simulará, validará y será visible automáticamente para todas las partes involucradas en tiempo real.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El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valor de todas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estas innovaciones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radica en que </w:t>
      </w:r>
      <w:r w:rsidRPr="01892866" w:rsidR="01892866">
        <w:rPr>
          <w:rFonts w:ascii="Arial Nova" w:hAnsi="Arial Nova" w:eastAsia="Arial Nova" w:cs="Arial Nova"/>
          <w:b w:val="1"/>
          <w:bCs w:val="1"/>
          <w:i w:val="1"/>
          <w:iCs w:val="1"/>
          <w:sz w:val="20"/>
          <w:szCs w:val="20"/>
        </w:rPr>
        <w:t xml:space="preserve">aceleran el tiempo de comercialización y reducen significativamente el costo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del diseño del producto,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así como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la ingeniería o la planificación de </w:t>
      </w:r>
      <w:r w:rsidRPr="01892866" w:rsidR="01892866">
        <w:rPr>
          <w:rFonts w:ascii="Arial Nova" w:hAnsi="Arial Nova" w:eastAsia="Arial Nova" w:cs="Arial Nova"/>
          <w:i w:val="1"/>
          <w:iCs w:val="1"/>
          <w:sz w:val="20"/>
          <w:szCs w:val="20"/>
        </w:rPr>
        <w:t>fabricación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 xml:space="preserve">"; concluyó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Taras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Bachynskyi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, vicepresidente de Tecnología en </w:t>
      </w:r>
      <w:r w:rsidRPr="01892866" w:rsidR="01892866">
        <w:rPr>
          <w:rFonts w:ascii="Arial Nova" w:hAnsi="Arial Nova" w:eastAsia="Arial Nova" w:cs="Arial Nova"/>
          <w:b w:val="1"/>
          <w:bCs w:val="1"/>
          <w:sz w:val="20"/>
          <w:szCs w:val="20"/>
        </w:rPr>
        <w:t>SoftServe</w:t>
      </w:r>
      <w:r w:rsidRPr="01892866" w:rsidR="01892866">
        <w:rPr>
          <w:rFonts w:ascii="Arial Nova" w:hAnsi="Arial Nova" w:eastAsia="Arial Nova" w:cs="Arial Nova"/>
          <w:sz w:val="20"/>
          <w:szCs w:val="20"/>
        </w:rPr>
        <w:t>.</w:t>
      </w:r>
    </w:p>
    <w:p w:rsidR="3C944073" w:rsidP="01892866" w:rsidRDefault="3C944073" w14:paraId="6E10DF1B" w14:textId="669731A1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</w:p>
    <w:p w:rsidR="3C944073" w:rsidP="01892866" w:rsidRDefault="3C944073" w14:paraId="20085A5D" w14:textId="0665FCE8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</w:p>
    <w:p w:rsidR="6D0358A2" w:rsidP="01892866" w:rsidRDefault="6D0358A2" w14:paraId="5AFBFC09" w14:textId="715894D4">
      <w:pPr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892866" w:rsidR="018928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Acerca de </w:t>
      </w:r>
      <w:r w:rsidRPr="01892866" w:rsidR="0189286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</w:p>
    <w:p w:rsidR="6D0358A2" w:rsidP="01892866" w:rsidRDefault="6D0358A2" w14:paraId="1B4CB5F1" w14:textId="784EDAF4">
      <w:pPr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22589db4f06f4b72">
        <w:r w:rsidRPr="01892866" w:rsidR="018928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SoftServe</w:t>
        </w:r>
      </w:hyperlink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de las mayores compañías de desarrollo de software de Europa Central y Oriental. Sus sedes centrales se encuentran en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Lviv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(Ucrania) y Austin (Texas,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EE.UU.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). Cuenta con centros de desarrollo en Ucrania, Polonia y Bulgaria, y en 2022 comenzó a operar en Rumanía, México, Chile y Colombia.</w:t>
      </w:r>
    </w:p>
    <w:p w:rsidR="6D0358A2" w:rsidP="01892866" w:rsidRDefault="6D0358A2" w14:paraId="0837B7EE" w14:textId="3F0D82D0">
      <w:pPr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mayor información</w:t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, visita </w:t>
      </w:r>
      <w:hyperlink r:id="R2fdac00cc16d4af6">
        <w:r w:rsidRPr="01892866" w:rsidR="018928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6D0358A2" w:rsidP="01892866" w:rsidRDefault="6D0358A2" w14:paraId="0734E453" w14:textId="198E7268">
      <w:pPr>
        <w:spacing w:after="160" w:line="25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6D0358A2" w:rsidP="01892866" w:rsidRDefault="6D0358A2" w14:paraId="6EA5AD4E" w14:textId="0F83ECEB">
      <w:pPr>
        <w:spacing w:after="16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27c2ed06e3cd4811">
        <w:r w:rsidRPr="01892866" w:rsidR="018928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6D0358A2" w:rsidP="01892866" w:rsidRDefault="6D0358A2" w14:paraId="5A68D11C" w14:textId="42E5CEA3">
      <w:pPr>
        <w:spacing w:after="16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826f590ad4cf4074">
        <w:r w:rsidRPr="01892866" w:rsidR="018928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6D0358A2" w:rsidP="01892866" w:rsidRDefault="6D0358A2" w14:paraId="5F16BF8D" w14:textId="49F3CA30">
      <w:pPr>
        <w:spacing w:after="16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2c7e6daa15654a11">
        <w:r w:rsidRPr="01892866" w:rsidR="018928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01892866" w:rsidR="0189286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59176047354e4906">
        <w:r w:rsidRPr="01892866" w:rsidR="01892866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p w:rsidR="3C944073" w:rsidP="01892866" w:rsidRDefault="3C944073" w14:paraId="027DD893" w14:textId="18E7A9E8">
      <w:pPr>
        <w:pStyle w:val="Normal"/>
        <w:jc w:val="both"/>
        <w:rPr>
          <w:rFonts w:ascii="Arial Nova" w:hAnsi="Arial Nova" w:eastAsia="Arial Nova" w:cs="Arial Nova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22aed50329f48d5"/>
      <w:footerReference w:type="default" r:id="R419634cfa4c94e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944073" w:rsidTr="3C944073" w14:paraId="5C2C8A57">
      <w:trPr>
        <w:trHeight w:val="300"/>
      </w:trPr>
      <w:tc>
        <w:tcPr>
          <w:tcW w:w="3005" w:type="dxa"/>
          <w:tcMar/>
        </w:tcPr>
        <w:p w:rsidR="3C944073" w:rsidP="3C944073" w:rsidRDefault="3C944073" w14:paraId="07F72EFF" w14:textId="2A658EE4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C944073" w:rsidP="3C944073" w:rsidRDefault="3C944073" w14:paraId="5CCDBE0C" w14:textId="61A3619B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3C944073" w:rsidP="3C944073" w:rsidRDefault="3C944073" w14:paraId="1D44E68F" w14:textId="2E36E512">
          <w:pPr>
            <w:pStyle w:val="Header"/>
            <w:bidi w:val="0"/>
            <w:ind w:right="-115"/>
            <w:jc w:val="right"/>
            <w:rPr/>
          </w:pPr>
        </w:p>
      </w:tc>
    </w:tr>
  </w:tbl>
  <w:p w:rsidR="3C944073" w:rsidP="3C944073" w:rsidRDefault="3C944073" w14:paraId="3AD2865B" w14:textId="2111CB45">
    <w:pPr>
      <w:pStyle w:val="Footer"/>
      <w:bidi w:val="0"/>
      <w:rPr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C944073" w:rsidP="3C944073" w:rsidRDefault="3C944073" w14:paraId="4D11FD59" w14:textId="0C598769">
    <w:pPr>
      <w:pStyle w:val="Header"/>
      <w:rPr/>
    </w:pPr>
    <w:r w:rsidR="3C944073">
      <w:drawing>
        <wp:inline wp14:editId="01AA8446" wp14:anchorId="0F6E8C03">
          <wp:extent cx="1571625" cy="485775"/>
          <wp:effectExtent l="0" t="0" r="0" b="0"/>
          <wp:docPr id="178387220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81eb0a13c8a4af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bijFshui" int2:invalidationBookmarkName="" int2:hashCode="NddHIUWGo3OXz2" int2:id="OvW6fu8d">
      <int2:state int2:type="AugLoop_Text_Critique" int2:value="Rejected"/>
    </int2:bookmark>
    <int2:bookmark int2:bookmarkName="_Int_gi6jh4a6" int2:invalidationBookmarkName="" int2:hashCode="Tx6k8J2yqq+wqS" int2:id="eKxRxm3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F3D72"/>
    <w:rsid w:val="00862DD3"/>
    <w:rsid w:val="00CEC841"/>
    <w:rsid w:val="00E3FFFD"/>
    <w:rsid w:val="012B13CF"/>
    <w:rsid w:val="0164AFE8"/>
    <w:rsid w:val="01892866"/>
    <w:rsid w:val="01C0B506"/>
    <w:rsid w:val="01C56979"/>
    <w:rsid w:val="01DDC567"/>
    <w:rsid w:val="02CC7D45"/>
    <w:rsid w:val="02D4D008"/>
    <w:rsid w:val="0322AAC2"/>
    <w:rsid w:val="04471C71"/>
    <w:rsid w:val="04C958CF"/>
    <w:rsid w:val="04E6BF12"/>
    <w:rsid w:val="051F2026"/>
    <w:rsid w:val="05E2698E"/>
    <w:rsid w:val="06939AF2"/>
    <w:rsid w:val="06ED8DD4"/>
    <w:rsid w:val="076DC24D"/>
    <w:rsid w:val="07BD47FC"/>
    <w:rsid w:val="082A2271"/>
    <w:rsid w:val="09D7D63E"/>
    <w:rsid w:val="0A828DAB"/>
    <w:rsid w:val="0A9F3542"/>
    <w:rsid w:val="0B7B75C0"/>
    <w:rsid w:val="0BC9F314"/>
    <w:rsid w:val="0D0E3062"/>
    <w:rsid w:val="0D0F0D5E"/>
    <w:rsid w:val="0D2647C7"/>
    <w:rsid w:val="0D58E482"/>
    <w:rsid w:val="0FFB7870"/>
    <w:rsid w:val="1061922D"/>
    <w:rsid w:val="1076A63B"/>
    <w:rsid w:val="10BC6A7A"/>
    <w:rsid w:val="11244579"/>
    <w:rsid w:val="117A29DF"/>
    <w:rsid w:val="11847A78"/>
    <w:rsid w:val="11F70821"/>
    <w:rsid w:val="12079D90"/>
    <w:rsid w:val="12867511"/>
    <w:rsid w:val="12FA575C"/>
    <w:rsid w:val="133B6B85"/>
    <w:rsid w:val="13AB4324"/>
    <w:rsid w:val="14044345"/>
    <w:rsid w:val="1432B388"/>
    <w:rsid w:val="1436839A"/>
    <w:rsid w:val="1478B36C"/>
    <w:rsid w:val="1533220C"/>
    <w:rsid w:val="157AEC67"/>
    <w:rsid w:val="1594AF44"/>
    <w:rsid w:val="165EBF38"/>
    <w:rsid w:val="16742F71"/>
    <w:rsid w:val="168AA8D3"/>
    <w:rsid w:val="174C37DE"/>
    <w:rsid w:val="17D9196D"/>
    <w:rsid w:val="1806D4B8"/>
    <w:rsid w:val="181C3F8F"/>
    <w:rsid w:val="19AB6B0A"/>
    <w:rsid w:val="19C5A4A1"/>
    <w:rsid w:val="1B2E9E87"/>
    <w:rsid w:val="1B720D03"/>
    <w:rsid w:val="1BA8633F"/>
    <w:rsid w:val="1C5D6674"/>
    <w:rsid w:val="1CA8D5F3"/>
    <w:rsid w:val="1CD77617"/>
    <w:rsid w:val="1D070762"/>
    <w:rsid w:val="1D96F46B"/>
    <w:rsid w:val="1DFDE8A2"/>
    <w:rsid w:val="1E5EF57F"/>
    <w:rsid w:val="1EC58653"/>
    <w:rsid w:val="1F1B6AAD"/>
    <w:rsid w:val="1F352FE8"/>
    <w:rsid w:val="1F6CFF73"/>
    <w:rsid w:val="1F78EB44"/>
    <w:rsid w:val="1FD9FB6D"/>
    <w:rsid w:val="202033BE"/>
    <w:rsid w:val="208E3C8E"/>
    <w:rsid w:val="2194307E"/>
    <w:rsid w:val="2207F31B"/>
    <w:rsid w:val="22511F38"/>
    <w:rsid w:val="2285D5F7"/>
    <w:rsid w:val="229F3345"/>
    <w:rsid w:val="230A626D"/>
    <w:rsid w:val="23697D80"/>
    <w:rsid w:val="2415CD05"/>
    <w:rsid w:val="2423324F"/>
    <w:rsid w:val="25820FE6"/>
    <w:rsid w:val="259E18D8"/>
    <w:rsid w:val="263C524E"/>
    <w:rsid w:val="267482EA"/>
    <w:rsid w:val="26A1879F"/>
    <w:rsid w:val="277B005B"/>
    <w:rsid w:val="279F2796"/>
    <w:rsid w:val="27A2BC97"/>
    <w:rsid w:val="27B1614F"/>
    <w:rsid w:val="27B324D3"/>
    <w:rsid w:val="28B50457"/>
    <w:rsid w:val="28C1B6AD"/>
    <w:rsid w:val="29495B89"/>
    <w:rsid w:val="29812264"/>
    <w:rsid w:val="2983C561"/>
    <w:rsid w:val="29EA4F05"/>
    <w:rsid w:val="29F9AFED"/>
    <w:rsid w:val="2A2B8951"/>
    <w:rsid w:val="2A9CCC3F"/>
    <w:rsid w:val="2B720860"/>
    <w:rsid w:val="2B94BD3B"/>
    <w:rsid w:val="2C2FAB14"/>
    <w:rsid w:val="2D14A5C1"/>
    <w:rsid w:val="2D79D901"/>
    <w:rsid w:val="2E0F2610"/>
    <w:rsid w:val="2E9CB87D"/>
    <w:rsid w:val="2EADEEE5"/>
    <w:rsid w:val="2EF9B89A"/>
    <w:rsid w:val="2EFD7C3A"/>
    <w:rsid w:val="2F2F43EC"/>
    <w:rsid w:val="2F3B5A72"/>
    <w:rsid w:val="2FFC9D62"/>
    <w:rsid w:val="30613070"/>
    <w:rsid w:val="3126BB6B"/>
    <w:rsid w:val="313CE6CF"/>
    <w:rsid w:val="31B95880"/>
    <w:rsid w:val="31FD7A70"/>
    <w:rsid w:val="3327776B"/>
    <w:rsid w:val="333F09F2"/>
    <w:rsid w:val="335B88C6"/>
    <w:rsid w:val="337454F2"/>
    <w:rsid w:val="339DA915"/>
    <w:rsid w:val="343E91E7"/>
    <w:rsid w:val="345D6A70"/>
    <w:rsid w:val="349B2FF0"/>
    <w:rsid w:val="34AE1080"/>
    <w:rsid w:val="34B7B4E9"/>
    <w:rsid w:val="35832777"/>
    <w:rsid w:val="365E969C"/>
    <w:rsid w:val="37093F80"/>
    <w:rsid w:val="3775AF60"/>
    <w:rsid w:val="3777C9A2"/>
    <w:rsid w:val="37AF55DB"/>
    <w:rsid w:val="37BBC9B2"/>
    <w:rsid w:val="3844DDF8"/>
    <w:rsid w:val="39148D2D"/>
    <w:rsid w:val="3A5DC2E9"/>
    <w:rsid w:val="3B50CB7A"/>
    <w:rsid w:val="3B7F94A3"/>
    <w:rsid w:val="3B9D2278"/>
    <w:rsid w:val="3BD71B73"/>
    <w:rsid w:val="3C1DF600"/>
    <w:rsid w:val="3C584BC2"/>
    <w:rsid w:val="3C944073"/>
    <w:rsid w:val="3D44A5DC"/>
    <w:rsid w:val="3D77A4A0"/>
    <w:rsid w:val="3D8993F3"/>
    <w:rsid w:val="3D9F4BDC"/>
    <w:rsid w:val="3E096688"/>
    <w:rsid w:val="3E1B6D78"/>
    <w:rsid w:val="3E2F3D72"/>
    <w:rsid w:val="3E582863"/>
    <w:rsid w:val="3E98B33C"/>
    <w:rsid w:val="3EDF69CF"/>
    <w:rsid w:val="3F03F4A2"/>
    <w:rsid w:val="40777597"/>
    <w:rsid w:val="410DEA0B"/>
    <w:rsid w:val="41294AEA"/>
    <w:rsid w:val="412B041A"/>
    <w:rsid w:val="4161CD0A"/>
    <w:rsid w:val="41C23E48"/>
    <w:rsid w:val="42BCA4D0"/>
    <w:rsid w:val="4386D4E3"/>
    <w:rsid w:val="4408A619"/>
    <w:rsid w:val="456AE9CE"/>
    <w:rsid w:val="45F7C58B"/>
    <w:rsid w:val="4633282E"/>
    <w:rsid w:val="46D9F700"/>
    <w:rsid w:val="47004448"/>
    <w:rsid w:val="47DF3261"/>
    <w:rsid w:val="48C5F857"/>
    <w:rsid w:val="48FC1367"/>
    <w:rsid w:val="490433D4"/>
    <w:rsid w:val="494EF97E"/>
    <w:rsid w:val="49612FEA"/>
    <w:rsid w:val="498474E6"/>
    <w:rsid w:val="4A2BE597"/>
    <w:rsid w:val="4A69B786"/>
    <w:rsid w:val="4AFC959E"/>
    <w:rsid w:val="4B9D3362"/>
    <w:rsid w:val="4BA4F6C2"/>
    <w:rsid w:val="4C480852"/>
    <w:rsid w:val="4CC3F53E"/>
    <w:rsid w:val="4CC5D57B"/>
    <w:rsid w:val="4D14BE76"/>
    <w:rsid w:val="4E107861"/>
    <w:rsid w:val="4E1BE736"/>
    <w:rsid w:val="4E67C4C4"/>
    <w:rsid w:val="4EAF8FDA"/>
    <w:rsid w:val="4EB63817"/>
    <w:rsid w:val="4F2A70BC"/>
    <w:rsid w:val="4FD43406"/>
    <w:rsid w:val="50C0E643"/>
    <w:rsid w:val="50C37590"/>
    <w:rsid w:val="51194A0F"/>
    <w:rsid w:val="51641110"/>
    <w:rsid w:val="5184E1A6"/>
    <w:rsid w:val="5216F864"/>
    <w:rsid w:val="5224CEFB"/>
    <w:rsid w:val="52681726"/>
    <w:rsid w:val="52971D69"/>
    <w:rsid w:val="54070F3C"/>
    <w:rsid w:val="54404E95"/>
    <w:rsid w:val="54798146"/>
    <w:rsid w:val="55029B79"/>
    <w:rsid w:val="5582D25C"/>
    <w:rsid w:val="563BA5A8"/>
    <w:rsid w:val="57CFDA7A"/>
    <w:rsid w:val="57D6A6A7"/>
    <w:rsid w:val="58AFA259"/>
    <w:rsid w:val="58BF9539"/>
    <w:rsid w:val="58C7E031"/>
    <w:rsid w:val="58CCD11B"/>
    <w:rsid w:val="58DABB58"/>
    <w:rsid w:val="5900FA0C"/>
    <w:rsid w:val="591DA526"/>
    <w:rsid w:val="59979741"/>
    <w:rsid w:val="59D281EC"/>
    <w:rsid w:val="5A354204"/>
    <w:rsid w:val="5AD6357D"/>
    <w:rsid w:val="5AFC54B3"/>
    <w:rsid w:val="5B0018E7"/>
    <w:rsid w:val="5B72A7D1"/>
    <w:rsid w:val="5B9E5B86"/>
    <w:rsid w:val="5BC77137"/>
    <w:rsid w:val="5BDB6045"/>
    <w:rsid w:val="5C29539E"/>
    <w:rsid w:val="5CA43086"/>
    <w:rsid w:val="5CDD6D18"/>
    <w:rsid w:val="5CFC1A06"/>
    <w:rsid w:val="5D4FDE25"/>
    <w:rsid w:val="5D742319"/>
    <w:rsid w:val="5DA8BF0E"/>
    <w:rsid w:val="5DDB32A4"/>
    <w:rsid w:val="5DF4FDF2"/>
    <w:rsid w:val="5E0A290B"/>
    <w:rsid w:val="5E35DAA8"/>
    <w:rsid w:val="5E97FD43"/>
    <w:rsid w:val="5F0C4260"/>
    <w:rsid w:val="60C28D8F"/>
    <w:rsid w:val="61043F1A"/>
    <w:rsid w:val="61152635"/>
    <w:rsid w:val="617B3ACB"/>
    <w:rsid w:val="61A155B9"/>
    <w:rsid w:val="623601A5"/>
    <w:rsid w:val="62499766"/>
    <w:rsid w:val="6249CF4D"/>
    <w:rsid w:val="62C6A2A1"/>
    <w:rsid w:val="639D35AF"/>
    <w:rsid w:val="63DDEA3F"/>
    <w:rsid w:val="63E5E23D"/>
    <w:rsid w:val="6446DFFA"/>
    <w:rsid w:val="6538A3A2"/>
    <w:rsid w:val="653F7769"/>
    <w:rsid w:val="65B3A7F5"/>
    <w:rsid w:val="65BEAF85"/>
    <w:rsid w:val="65C09333"/>
    <w:rsid w:val="65F1C784"/>
    <w:rsid w:val="668CCCA7"/>
    <w:rsid w:val="67C41C28"/>
    <w:rsid w:val="6826B44A"/>
    <w:rsid w:val="6887E512"/>
    <w:rsid w:val="6909ED73"/>
    <w:rsid w:val="6A521BF1"/>
    <w:rsid w:val="6B6BDEF0"/>
    <w:rsid w:val="6D0358A2"/>
    <w:rsid w:val="6D75B812"/>
    <w:rsid w:val="6DA341C0"/>
    <w:rsid w:val="6DD42D11"/>
    <w:rsid w:val="6DF740F8"/>
    <w:rsid w:val="6F21DD0D"/>
    <w:rsid w:val="7015A33D"/>
    <w:rsid w:val="70740C08"/>
    <w:rsid w:val="707A4DED"/>
    <w:rsid w:val="70AA2AB3"/>
    <w:rsid w:val="70AFDA11"/>
    <w:rsid w:val="71652472"/>
    <w:rsid w:val="71910855"/>
    <w:rsid w:val="71C99814"/>
    <w:rsid w:val="71F57D80"/>
    <w:rsid w:val="72576FC8"/>
    <w:rsid w:val="73022011"/>
    <w:rsid w:val="73465874"/>
    <w:rsid w:val="75B9EF8E"/>
    <w:rsid w:val="75D32549"/>
    <w:rsid w:val="75FB3099"/>
    <w:rsid w:val="7629B4AC"/>
    <w:rsid w:val="7665B5F1"/>
    <w:rsid w:val="7679ED10"/>
    <w:rsid w:val="76D5D109"/>
    <w:rsid w:val="77897806"/>
    <w:rsid w:val="77CCF354"/>
    <w:rsid w:val="7842F49B"/>
    <w:rsid w:val="785CDDF9"/>
    <w:rsid w:val="788D3A18"/>
    <w:rsid w:val="79346B4B"/>
    <w:rsid w:val="79C9233C"/>
    <w:rsid w:val="7A37F211"/>
    <w:rsid w:val="7A726C7B"/>
    <w:rsid w:val="7B2C2E29"/>
    <w:rsid w:val="7B93D077"/>
    <w:rsid w:val="7B9AFFB2"/>
    <w:rsid w:val="7B9F7088"/>
    <w:rsid w:val="7C507C0B"/>
    <w:rsid w:val="7CA0613E"/>
    <w:rsid w:val="7CDAE25F"/>
    <w:rsid w:val="7D371E9A"/>
    <w:rsid w:val="7E5E8BFB"/>
    <w:rsid w:val="7F47F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3D72"/>
  <w15:chartTrackingRefBased/>
  <w15:docId w15:val="{8FBF9653-3786-4B6C-A131-8CA44B0971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c22aed50329f48d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419634cfa4c94eeb" /><Relationship Type="http://schemas.microsoft.com/office/2020/10/relationships/intelligence" Target="intelligence2.xml" Id="R0952811b43e74cd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arehousesim.softserveinc.com/" TargetMode="External" Id="Rc2cb8c04f8f64765" /><Relationship Type="http://schemas.openxmlformats.org/officeDocument/2006/relationships/hyperlink" Target="https://simulationfirst.softserveinc.com/" TargetMode="External" Id="R04453dfb46d8487b" /><Relationship Type="http://schemas.openxmlformats.org/officeDocument/2006/relationships/hyperlink" Target="https://gic.softserveinc.com/" TargetMode="External" Id="Rf7dda4da025b42fd" /><Relationship Type="http://schemas.openxmlformats.org/officeDocument/2006/relationships/hyperlink" Target="https://gen.softserveinc.com/" TargetMode="External" Id="R6d8138d7f64447f0" /><Relationship Type="http://schemas.openxmlformats.org/officeDocument/2006/relationships/hyperlink" Target="https://www.softserveinc.com/en-us" TargetMode="External" Id="Ra2c75f812c5e425a" /><Relationship Type="http://schemas.openxmlformats.org/officeDocument/2006/relationships/hyperlink" Target="https://www.precedenceresearch.com/industrial-metaverse-market" TargetMode="External" Id="R17429bdaedf14ae4" /><Relationship Type="http://schemas.openxmlformats.org/officeDocument/2006/relationships/hyperlink" Target="https://www.softserveinc.com/en-us" TargetMode="External" Id="R22589db4f06f4b72" /><Relationship Type="http://schemas.openxmlformats.org/officeDocument/2006/relationships/hyperlink" Target="https://www.softserveinc.com/" TargetMode="External" Id="R2fdac00cc16d4af6" /><Relationship Type="http://schemas.openxmlformats.org/officeDocument/2006/relationships/hyperlink" Target="https://www.facebook.com/SoftServeInc" TargetMode="External" Id="R27c2ed06e3cd4811" /><Relationship Type="http://schemas.openxmlformats.org/officeDocument/2006/relationships/hyperlink" Target="https://twitter.com/SoftServeInc" TargetMode="External" Id="R826f590ad4cf4074" /><Relationship Type="http://schemas.openxmlformats.org/officeDocument/2006/relationships/hyperlink" Target="https://www.linkedin.com/company/softserve/" TargetMode="External" Id="R2c7e6daa15654a11" /><Relationship Type="http://schemas.openxmlformats.org/officeDocument/2006/relationships/hyperlink" Target="https://www.softserveinc.com/en-us/blog" TargetMode="External" Id="R59176047354e490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81eb0a13c8a4a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3AAEB-1939-49FB-B480-66527FC613C9}"/>
</file>

<file path=customXml/itemProps2.xml><?xml version="1.0" encoding="utf-8"?>
<ds:datastoreItem xmlns:ds="http://schemas.openxmlformats.org/officeDocument/2006/customXml" ds:itemID="{0C5DD584-BF14-4DE8-8A30-99C4FBA91964}"/>
</file>

<file path=customXml/itemProps3.xml><?xml version="1.0" encoding="utf-8"?>
<ds:datastoreItem xmlns:ds="http://schemas.openxmlformats.org/officeDocument/2006/customXml" ds:itemID="{6F2BE3B5-C547-4FA5-9C5B-B19D103BD9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Ahtziri Rangel Moreno</lastModifiedBy>
  <dcterms:created xsi:type="dcterms:W3CDTF">2024-03-20T22:22:38.0000000Z</dcterms:created>
  <dcterms:modified xsi:type="dcterms:W3CDTF">2024-03-25T17:04:54.7807998Z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